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92089" w14:textId="33E2C255" w:rsidR="0013796F" w:rsidRDefault="003063C3" w:rsidP="0013796F">
      <w:pPr>
        <w:pStyle w:val="Title"/>
        <w:spacing w:line="300" w:lineRule="atLeast"/>
        <w:ind w:right="-46"/>
      </w:pPr>
      <w:r>
        <w:t>Health comes in many sizes</w:t>
      </w:r>
    </w:p>
    <w:p w14:paraId="0F76EB35" w14:textId="77777777" w:rsidR="00257411" w:rsidRPr="00831832" w:rsidRDefault="00257411" w:rsidP="008620A8">
      <w:pPr>
        <w:pStyle w:val="Heading1"/>
        <w:ind w:right="0"/>
      </w:pPr>
      <w:r w:rsidRPr="00831832">
        <w:t>A Healthy Weight</w:t>
      </w:r>
    </w:p>
    <w:p w14:paraId="3B8C5870" w14:textId="0F7F6F72" w:rsidR="003063C3" w:rsidRDefault="00257411" w:rsidP="008620A8">
      <w:pPr>
        <w:spacing w:before="240"/>
        <w:ind w:right="0"/>
      </w:pPr>
      <w:r w:rsidRPr="00831832">
        <w:t>A healthy weight is different for everyone</w:t>
      </w:r>
      <w:r w:rsidR="0013796F">
        <w:t>. Y</w:t>
      </w:r>
      <w:r w:rsidRPr="00831832">
        <w:t>ou don’t need scales to find out what it is. A healthy weight is what you are when</w:t>
      </w:r>
      <w:r w:rsidR="003063C3">
        <w:t xml:space="preserve"> you:</w:t>
      </w:r>
    </w:p>
    <w:p w14:paraId="09DE0086" w14:textId="0321AF7A" w:rsidR="003063C3" w:rsidRPr="00F255BA" w:rsidRDefault="003063C3" w:rsidP="003063C3">
      <w:pPr>
        <w:pStyle w:val="ListParagraph"/>
        <w:numPr>
          <w:ilvl w:val="0"/>
          <w:numId w:val="19"/>
        </w:numPr>
        <w:spacing w:before="240"/>
        <w:rPr>
          <w:rFonts w:ascii="Gill Sans MT" w:hAnsi="Gill Sans MT"/>
        </w:rPr>
      </w:pPr>
      <w:r w:rsidRPr="00F255BA">
        <w:rPr>
          <w:rFonts w:ascii="Gill Sans MT" w:hAnsi="Gill Sans MT"/>
        </w:rPr>
        <w:t>eat</w:t>
      </w:r>
      <w:r w:rsidR="00257411" w:rsidRPr="00F255BA">
        <w:rPr>
          <w:rFonts w:ascii="Gill Sans MT" w:hAnsi="Gill Sans MT"/>
        </w:rPr>
        <w:t xml:space="preserve"> a balanced diet</w:t>
      </w:r>
    </w:p>
    <w:p w14:paraId="24C97B2B" w14:textId="483EC044" w:rsidR="003063C3" w:rsidRPr="00F255BA" w:rsidRDefault="003063C3" w:rsidP="003063C3">
      <w:pPr>
        <w:pStyle w:val="ListParagraph"/>
        <w:numPr>
          <w:ilvl w:val="0"/>
          <w:numId w:val="19"/>
        </w:numPr>
        <w:spacing w:before="240"/>
        <w:rPr>
          <w:rFonts w:ascii="Gill Sans MT" w:hAnsi="Gill Sans MT"/>
        </w:rPr>
      </w:pPr>
      <w:r w:rsidRPr="00F255BA">
        <w:rPr>
          <w:rFonts w:ascii="Gill Sans MT" w:hAnsi="Gill Sans MT"/>
        </w:rPr>
        <w:t>eat most of the time because you are hungry</w:t>
      </w:r>
    </w:p>
    <w:p w14:paraId="1DC515F4" w14:textId="621F8C20" w:rsidR="003063C3" w:rsidRPr="00F255BA" w:rsidRDefault="003063C3" w:rsidP="003063C3">
      <w:pPr>
        <w:pStyle w:val="ListParagraph"/>
        <w:numPr>
          <w:ilvl w:val="0"/>
          <w:numId w:val="19"/>
        </w:numPr>
        <w:spacing w:before="240"/>
        <w:rPr>
          <w:rFonts w:ascii="Gill Sans MT" w:hAnsi="Gill Sans MT"/>
        </w:rPr>
      </w:pPr>
      <w:r w:rsidRPr="00F255BA">
        <w:rPr>
          <w:rFonts w:ascii="Gill Sans MT" w:hAnsi="Gill Sans MT"/>
        </w:rPr>
        <w:t xml:space="preserve">move </w:t>
      </w:r>
      <w:r w:rsidR="00C02B1F" w:rsidRPr="00F255BA">
        <w:rPr>
          <w:rFonts w:ascii="Gill Sans MT" w:hAnsi="Gill Sans MT"/>
        </w:rPr>
        <w:t>regularly</w:t>
      </w:r>
      <w:r w:rsidRPr="00F255BA">
        <w:rPr>
          <w:rFonts w:ascii="Gill Sans MT" w:hAnsi="Gill Sans MT"/>
        </w:rPr>
        <w:t xml:space="preserve"> </w:t>
      </w:r>
      <w:r w:rsidR="00257411" w:rsidRPr="00F255BA">
        <w:rPr>
          <w:rFonts w:ascii="Gill Sans MT" w:hAnsi="Gill Sans MT"/>
        </w:rPr>
        <w:t xml:space="preserve">in ways you enjoy. </w:t>
      </w:r>
    </w:p>
    <w:p w14:paraId="602A0706" w14:textId="7F8544D9" w:rsidR="00257411" w:rsidRPr="00831832" w:rsidRDefault="003063C3" w:rsidP="003063C3">
      <w:pPr>
        <w:spacing w:before="240"/>
      </w:pPr>
      <w:r>
        <w:t xml:space="preserve">We cannot measure </w:t>
      </w:r>
      <w:r w:rsidR="00F255BA">
        <w:t>health</w:t>
      </w:r>
      <w:r w:rsidR="0013796F" w:rsidRPr="00831832">
        <w:t xml:space="preserve"> just by </w:t>
      </w:r>
      <w:r w:rsidR="00F255BA" w:rsidRPr="00831832">
        <w:t>physical appearance</w:t>
      </w:r>
      <w:r w:rsidR="00F255BA">
        <w:t xml:space="preserve">, </w:t>
      </w:r>
      <w:r w:rsidR="0013796F" w:rsidRPr="00831832">
        <w:t>weight</w:t>
      </w:r>
      <w:r w:rsidR="00F255BA">
        <w:t xml:space="preserve"> or </w:t>
      </w:r>
      <w:r w:rsidR="0013796F" w:rsidRPr="00831832">
        <w:t>waist circumference.</w:t>
      </w:r>
    </w:p>
    <w:p w14:paraId="475C68EA" w14:textId="77777777" w:rsidR="00257411" w:rsidRPr="00831832" w:rsidRDefault="00257411" w:rsidP="008620A8">
      <w:pPr>
        <w:pStyle w:val="Heading1"/>
        <w:ind w:right="0"/>
      </w:pPr>
      <w:r w:rsidRPr="00831832">
        <w:t xml:space="preserve">What Does </w:t>
      </w:r>
      <w:r w:rsidRPr="00831832">
        <w:rPr>
          <w:i/>
        </w:rPr>
        <w:t>Weight Neutral</w:t>
      </w:r>
      <w:r w:rsidRPr="00831832">
        <w:t xml:space="preserve"> Mean?</w:t>
      </w:r>
    </w:p>
    <w:p w14:paraId="3F31BCE3" w14:textId="36AF2721" w:rsidR="00257411" w:rsidRPr="00831832" w:rsidRDefault="00257411" w:rsidP="008620A8">
      <w:pPr>
        <w:spacing w:before="240"/>
        <w:ind w:right="0"/>
      </w:pPr>
      <w:r w:rsidRPr="00831832">
        <w:t>Body weight is often used as a measure of health – in the media, by friends and family</w:t>
      </w:r>
      <w:r w:rsidR="00514630">
        <w:t>,</w:t>
      </w:r>
      <w:r w:rsidRPr="00831832">
        <w:t xml:space="preserve"> and by governments.  A </w:t>
      </w:r>
      <w:r w:rsidRPr="00831832">
        <w:rPr>
          <w:i/>
        </w:rPr>
        <w:t xml:space="preserve">weight neutral </w:t>
      </w:r>
      <w:r w:rsidRPr="00831832">
        <w:t>approach challenges this focus on weight</w:t>
      </w:r>
      <w:r w:rsidR="0013796F">
        <w:t xml:space="preserve">.  It </w:t>
      </w:r>
      <w:r w:rsidRPr="00831832">
        <w:t xml:space="preserve">recognises that healthy bodies come in all shapes and sizes. </w:t>
      </w:r>
    </w:p>
    <w:p w14:paraId="72282F2C" w14:textId="12A5522F" w:rsidR="00257411" w:rsidRPr="00831832" w:rsidRDefault="00257411" w:rsidP="008620A8">
      <w:pPr>
        <w:ind w:right="0"/>
      </w:pPr>
      <w:r w:rsidRPr="00831832">
        <w:t>A person’s weight does not provide a representative picture of their health.  There are a lot of factors that impact your body weight</w:t>
      </w:r>
      <w:r w:rsidR="00D506F7">
        <w:t xml:space="preserve">. </w:t>
      </w:r>
      <w:r w:rsidRPr="00831832">
        <w:t xml:space="preserve">This includes genetics, hormones, medications, diseases, age, the amount of sleep you get, your stress levels and your ethnicity. </w:t>
      </w:r>
      <w:r w:rsidR="00D506F7">
        <w:t>T</w:t>
      </w:r>
      <w:r w:rsidRPr="00831832">
        <w:t>he number of kilos on the scale</w:t>
      </w:r>
      <w:r w:rsidR="00D506F7">
        <w:t xml:space="preserve"> does not reflect these factors</w:t>
      </w:r>
      <w:r w:rsidRPr="00831832">
        <w:t xml:space="preserve">.  </w:t>
      </w:r>
    </w:p>
    <w:p w14:paraId="0AA69B9B" w14:textId="6543C3F6" w:rsidR="00257411" w:rsidRPr="00831832" w:rsidRDefault="00C02B1F" w:rsidP="008620A8">
      <w:pPr>
        <w:ind w:right="0"/>
      </w:pPr>
      <w:r w:rsidRPr="00831832">
        <w:t xml:space="preserve">A weight neutral approach encourages a focus on </w:t>
      </w:r>
      <w:r>
        <w:t xml:space="preserve">those things we do that promotes health.  Doing these things </w:t>
      </w:r>
      <w:r w:rsidR="00C12646">
        <w:t>can help</w:t>
      </w:r>
      <w:r>
        <w:t xml:space="preserve"> us to stay healthy and avoid chronic conditions, even if our weight stays the same</w:t>
      </w:r>
      <w:r w:rsidR="00514630">
        <w:t>:</w:t>
      </w:r>
    </w:p>
    <w:p w14:paraId="34AC3D16" w14:textId="2DFBBBC2" w:rsidR="00257411" w:rsidRPr="00831832" w:rsidRDefault="00257411" w:rsidP="008620A8">
      <w:pPr>
        <w:pStyle w:val="ListParagraph"/>
        <w:numPr>
          <w:ilvl w:val="0"/>
          <w:numId w:val="18"/>
        </w:numPr>
        <w:spacing w:after="140" w:line="300" w:lineRule="atLeast"/>
        <w:rPr>
          <w:rFonts w:ascii="Gill Sans MT" w:hAnsi="Gill Sans MT"/>
        </w:rPr>
      </w:pPr>
      <w:r w:rsidRPr="00831832">
        <w:rPr>
          <w:rFonts w:ascii="Gill Sans MT" w:hAnsi="Gill Sans MT"/>
        </w:rPr>
        <w:t xml:space="preserve">eat </w:t>
      </w:r>
      <w:r w:rsidR="00C02B1F">
        <w:rPr>
          <w:rFonts w:ascii="Gill Sans MT" w:hAnsi="Gill Sans MT"/>
        </w:rPr>
        <w:t>mostly from the five food groups</w:t>
      </w:r>
    </w:p>
    <w:p w14:paraId="4EB03C2C" w14:textId="3DE4E1FC" w:rsidR="00257411" w:rsidRPr="00831832" w:rsidRDefault="00C02B1F" w:rsidP="008620A8">
      <w:pPr>
        <w:pStyle w:val="ListParagraph"/>
        <w:numPr>
          <w:ilvl w:val="0"/>
          <w:numId w:val="18"/>
        </w:numPr>
        <w:spacing w:after="140" w:line="300" w:lineRule="atLeast"/>
        <w:rPr>
          <w:rFonts w:ascii="Gill Sans MT" w:hAnsi="Gill Sans MT"/>
        </w:rPr>
      </w:pPr>
      <w:r>
        <w:rPr>
          <w:rFonts w:ascii="Gill Sans MT" w:hAnsi="Gill Sans MT"/>
        </w:rPr>
        <w:t>listen to our bodies, when we are hungry or full</w:t>
      </w:r>
    </w:p>
    <w:p w14:paraId="5A015340" w14:textId="76BEDE22" w:rsidR="00257411" w:rsidRPr="00831832" w:rsidRDefault="00257411" w:rsidP="008620A8">
      <w:pPr>
        <w:pStyle w:val="ListParagraph"/>
        <w:numPr>
          <w:ilvl w:val="0"/>
          <w:numId w:val="18"/>
        </w:numPr>
        <w:spacing w:after="140" w:line="300" w:lineRule="atLeast"/>
        <w:rPr>
          <w:rFonts w:ascii="Gill Sans MT" w:hAnsi="Gill Sans MT"/>
        </w:rPr>
      </w:pPr>
      <w:r w:rsidRPr="00831832">
        <w:rPr>
          <w:rFonts w:ascii="Gill Sans MT" w:hAnsi="Gill Sans MT"/>
        </w:rPr>
        <w:t>mov</w:t>
      </w:r>
      <w:r w:rsidR="00C02B1F">
        <w:rPr>
          <w:rFonts w:ascii="Gill Sans MT" w:hAnsi="Gill Sans MT"/>
        </w:rPr>
        <w:t>e</w:t>
      </w:r>
      <w:r w:rsidRPr="00831832">
        <w:rPr>
          <w:rFonts w:ascii="Gill Sans MT" w:hAnsi="Gill Sans MT"/>
        </w:rPr>
        <w:t xml:space="preserve"> more</w:t>
      </w:r>
    </w:p>
    <w:p w14:paraId="7FE3B455" w14:textId="1CC22712" w:rsidR="00257411" w:rsidRPr="00831832" w:rsidRDefault="00257411" w:rsidP="008620A8">
      <w:pPr>
        <w:pStyle w:val="ListParagraph"/>
        <w:numPr>
          <w:ilvl w:val="0"/>
          <w:numId w:val="18"/>
        </w:numPr>
        <w:spacing w:after="140" w:line="300" w:lineRule="atLeast"/>
        <w:rPr>
          <w:rFonts w:ascii="Gill Sans MT" w:hAnsi="Gill Sans MT"/>
        </w:rPr>
      </w:pPr>
      <w:r w:rsidRPr="00831832">
        <w:rPr>
          <w:rFonts w:ascii="Gill Sans MT" w:hAnsi="Gill Sans MT"/>
        </w:rPr>
        <w:t>sit less</w:t>
      </w:r>
    </w:p>
    <w:p w14:paraId="5D8A2B45" w14:textId="7149199B" w:rsidR="00257411" w:rsidRPr="00831832" w:rsidRDefault="00257411" w:rsidP="008620A8">
      <w:pPr>
        <w:pStyle w:val="ListParagraph"/>
        <w:numPr>
          <w:ilvl w:val="0"/>
          <w:numId w:val="18"/>
        </w:numPr>
        <w:spacing w:after="140" w:line="300" w:lineRule="atLeast"/>
        <w:rPr>
          <w:rFonts w:ascii="Gill Sans MT" w:hAnsi="Gill Sans MT"/>
        </w:rPr>
      </w:pPr>
      <w:r w:rsidRPr="00831832">
        <w:rPr>
          <w:rFonts w:ascii="Gill Sans MT" w:hAnsi="Gill Sans MT"/>
        </w:rPr>
        <w:t>avoi</w:t>
      </w:r>
      <w:r w:rsidR="00C02B1F">
        <w:rPr>
          <w:rFonts w:ascii="Gill Sans MT" w:hAnsi="Gill Sans MT"/>
        </w:rPr>
        <w:t>d</w:t>
      </w:r>
      <w:r w:rsidRPr="00831832">
        <w:rPr>
          <w:rFonts w:ascii="Gill Sans MT" w:hAnsi="Gill Sans MT"/>
        </w:rPr>
        <w:t xml:space="preserve"> or reduc</w:t>
      </w:r>
      <w:r w:rsidR="00C02B1F">
        <w:rPr>
          <w:rFonts w:ascii="Gill Sans MT" w:hAnsi="Gill Sans MT"/>
        </w:rPr>
        <w:t>e</w:t>
      </w:r>
      <w:r w:rsidRPr="00831832">
        <w:rPr>
          <w:rFonts w:ascii="Gill Sans MT" w:hAnsi="Gill Sans MT"/>
        </w:rPr>
        <w:t xml:space="preserve"> alcohol</w:t>
      </w:r>
    </w:p>
    <w:p w14:paraId="18AAE2CA" w14:textId="40533CF0" w:rsidR="00257411" w:rsidRDefault="00257411" w:rsidP="008620A8">
      <w:pPr>
        <w:pStyle w:val="ListParagraph"/>
        <w:numPr>
          <w:ilvl w:val="0"/>
          <w:numId w:val="18"/>
        </w:numPr>
        <w:spacing w:after="140" w:line="300" w:lineRule="atLeast"/>
        <w:rPr>
          <w:rFonts w:ascii="Gill Sans MT" w:hAnsi="Gill Sans MT"/>
        </w:rPr>
      </w:pPr>
      <w:r w:rsidRPr="00831832">
        <w:rPr>
          <w:rFonts w:ascii="Gill Sans MT" w:hAnsi="Gill Sans MT"/>
        </w:rPr>
        <w:t>get enough sleep.</w:t>
      </w:r>
    </w:p>
    <w:p w14:paraId="6C7B6479" w14:textId="0AA46758" w:rsidR="00C02B1F" w:rsidRDefault="00F255BA" w:rsidP="008620A8">
      <w:pPr>
        <w:pStyle w:val="ListParagraph"/>
        <w:numPr>
          <w:ilvl w:val="0"/>
          <w:numId w:val="18"/>
        </w:numPr>
        <w:spacing w:after="140" w:line="300" w:lineRule="atLeast"/>
        <w:rPr>
          <w:rFonts w:ascii="Gill Sans MT" w:hAnsi="Gill Sans MT"/>
        </w:rPr>
      </w:pPr>
      <w:r>
        <w:rPr>
          <w:rFonts w:ascii="Gill Sans MT" w:hAnsi="Gill Sans MT"/>
        </w:rPr>
        <w:t>find enjoyable movement</w:t>
      </w:r>
    </w:p>
    <w:p w14:paraId="5455A019" w14:textId="2DD7A8F3" w:rsidR="00C02B1F" w:rsidRDefault="00C02B1F" w:rsidP="008620A8">
      <w:pPr>
        <w:pStyle w:val="ListParagraph"/>
        <w:numPr>
          <w:ilvl w:val="0"/>
          <w:numId w:val="18"/>
        </w:numPr>
        <w:spacing w:after="140" w:line="300" w:lineRule="atLeast"/>
        <w:rPr>
          <w:rFonts w:ascii="Gill Sans MT" w:hAnsi="Gill Sans MT"/>
        </w:rPr>
      </w:pPr>
      <w:r>
        <w:rPr>
          <w:rFonts w:ascii="Gill Sans MT" w:hAnsi="Gill Sans MT"/>
        </w:rPr>
        <w:t>enjoy eating with family and friends</w:t>
      </w:r>
    </w:p>
    <w:p w14:paraId="0C323BA5" w14:textId="77777777" w:rsidR="00C02B1F" w:rsidRPr="00831832" w:rsidRDefault="00C02B1F" w:rsidP="00C02B1F">
      <w:pPr>
        <w:pStyle w:val="ListParagraph"/>
        <w:spacing w:after="140" w:line="300" w:lineRule="atLeast"/>
        <w:rPr>
          <w:rFonts w:ascii="Gill Sans MT" w:hAnsi="Gill Sans MT"/>
        </w:rPr>
      </w:pPr>
    </w:p>
    <w:p w14:paraId="6ECB285C" w14:textId="77777777" w:rsidR="00257411" w:rsidRPr="00831832" w:rsidRDefault="00257411" w:rsidP="008620A8">
      <w:pPr>
        <w:pStyle w:val="Heading1"/>
        <w:ind w:right="0"/>
      </w:pPr>
      <w:r w:rsidRPr="00831832">
        <w:lastRenderedPageBreak/>
        <w:t>Why be Weight Neutral?</w:t>
      </w:r>
    </w:p>
    <w:p w14:paraId="02D84E7B" w14:textId="144ACFA4" w:rsidR="00257411" w:rsidRPr="00831832" w:rsidRDefault="00D506F7" w:rsidP="008620A8">
      <w:pPr>
        <w:spacing w:before="240"/>
        <w:ind w:right="0"/>
      </w:pPr>
      <w:r>
        <w:t>Research suggests</w:t>
      </w:r>
      <w:r w:rsidR="00257411" w:rsidRPr="00831832">
        <w:t xml:space="preserve"> that intentional weight loss (dieting) is not a safe and effective way of supporting your health.</w:t>
      </w:r>
      <w:r w:rsidR="00257411" w:rsidRPr="00831832">
        <w:rPr>
          <w:rStyle w:val="EndnoteReference"/>
        </w:rPr>
        <w:endnoteReference w:id="1"/>
      </w:r>
      <w:r w:rsidR="00257411" w:rsidRPr="00831832">
        <w:t xml:space="preserve">  Most people who diet to lose weight will regain the weight within five years</w:t>
      </w:r>
      <w:r w:rsidR="00257411" w:rsidRPr="00831832">
        <w:rPr>
          <w:rStyle w:val="EndnoteReference"/>
        </w:rPr>
        <w:endnoteReference w:id="2"/>
      </w:r>
      <w:r w:rsidR="00257411" w:rsidRPr="00831832">
        <w:t xml:space="preserve">. </w:t>
      </w:r>
    </w:p>
    <w:p w14:paraId="3F477E4E" w14:textId="4EA47D3B" w:rsidR="00257411" w:rsidRPr="00831832" w:rsidRDefault="00257411" w:rsidP="008620A8">
      <w:pPr>
        <w:ind w:right="0"/>
      </w:pPr>
      <w:r w:rsidRPr="00831832">
        <w:t xml:space="preserve">Striving for a </w:t>
      </w:r>
      <w:r w:rsidR="00C12646">
        <w:t>certain</w:t>
      </w:r>
      <w:r w:rsidRPr="00831832">
        <w:t xml:space="preserve"> body shape or weight goal can be harmful to mental health. </w:t>
      </w:r>
      <w:r w:rsidR="00D506F7">
        <w:t>P</w:t>
      </w:r>
      <w:r w:rsidRPr="00831832">
        <w:t xml:space="preserve">eople </w:t>
      </w:r>
      <w:r w:rsidR="00D506F7">
        <w:t xml:space="preserve">may </w:t>
      </w:r>
      <w:r w:rsidRPr="00831832">
        <w:t xml:space="preserve">lose motivation to </w:t>
      </w:r>
      <w:r w:rsidR="005E13FC">
        <w:t>eat well or be</w:t>
      </w:r>
      <w:r w:rsidR="00D506F7">
        <w:t xml:space="preserve"> active if they fail to maintain or lose weight</w:t>
      </w:r>
      <w:r w:rsidRPr="00831832">
        <w:t xml:space="preserve">. </w:t>
      </w:r>
      <w:r w:rsidR="00D506F7">
        <w:t xml:space="preserve"> A focus on</w:t>
      </w:r>
      <w:r w:rsidR="003063C3">
        <w:t>ly on</w:t>
      </w:r>
      <w:r w:rsidRPr="00831832">
        <w:t xml:space="preserve"> weight loss can increase the risk of negative body image and disordered eating.</w:t>
      </w:r>
    </w:p>
    <w:p w14:paraId="34C543F7" w14:textId="76B384F0" w:rsidR="00257411" w:rsidRPr="00831832" w:rsidRDefault="00257411" w:rsidP="008620A8">
      <w:pPr>
        <w:ind w:right="0"/>
      </w:pPr>
      <w:r w:rsidRPr="00831832">
        <w:t xml:space="preserve">People may also avoid </w:t>
      </w:r>
      <w:r w:rsidR="00C12646">
        <w:t>going out with friends</w:t>
      </w:r>
      <w:r w:rsidRPr="00831832">
        <w:t>, playing sport, or even visiting the doctor if they fear being judged for their size or shape. A weight neutral approach to health is strength based and includes everyone.</w:t>
      </w:r>
    </w:p>
    <w:p w14:paraId="5A9BDFDC" w14:textId="2B1AA231" w:rsidR="00257411" w:rsidRPr="00831832" w:rsidRDefault="00257411" w:rsidP="008620A8">
      <w:pPr>
        <w:ind w:right="0"/>
      </w:pPr>
      <w:r w:rsidRPr="00831832">
        <w:rPr>
          <w:lang w:val="en"/>
        </w:rPr>
        <w:t xml:space="preserve">A weight neutral approach may be particularly helpful for young people. </w:t>
      </w:r>
      <w:r w:rsidRPr="00831832">
        <w:t>During puberty and adolescence, young people’s bodies go through significant changes</w:t>
      </w:r>
      <w:r w:rsidR="00D506F7">
        <w:t>. E</w:t>
      </w:r>
      <w:r w:rsidRPr="00831832">
        <w:t>veryone go</w:t>
      </w:r>
      <w:r w:rsidR="003063C3">
        <w:t>es</w:t>
      </w:r>
      <w:r w:rsidRPr="00831832">
        <w:t xml:space="preserve"> through these changes at different times. You may find that being weight neutral helps you to be kinder to yourself and others because it challenges the idea that there is a ‘right’ way to look.  </w:t>
      </w:r>
    </w:p>
    <w:p w14:paraId="28E7EB8A" w14:textId="77777777" w:rsidR="00257411" w:rsidRPr="00831832" w:rsidRDefault="00257411" w:rsidP="00257411">
      <w:pPr>
        <w:spacing w:line="276" w:lineRule="auto"/>
        <w:ind w:right="0"/>
      </w:pPr>
    </w:p>
    <w:p w14:paraId="65AD6A74" w14:textId="783AF3EE" w:rsidR="00556C56" w:rsidRDefault="00556C56" w:rsidP="00F9129B">
      <w:pPr>
        <w:ind w:right="-46"/>
        <w:rPr>
          <w:color w:val="000000" w:themeColor="text1"/>
          <w:sz w:val="24"/>
        </w:rPr>
      </w:pPr>
    </w:p>
    <w:p w14:paraId="08ACEEE5" w14:textId="6D557D5D" w:rsidR="003063C3" w:rsidRDefault="003063C3" w:rsidP="00F9129B">
      <w:pPr>
        <w:ind w:right="-46"/>
        <w:rPr>
          <w:color w:val="000000" w:themeColor="text1"/>
          <w:sz w:val="24"/>
        </w:rPr>
      </w:pPr>
    </w:p>
    <w:p w14:paraId="03B73F24" w14:textId="77777777" w:rsidR="003063C3" w:rsidRPr="00831832" w:rsidRDefault="003063C3" w:rsidP="00F9129B">
      <w:pPr>
        <w:ind w:right="-46"/>
        <w:rPr>
          <w:color w:val="000000" w:themeColor="text1"/>
          <w:sz w:val="24"/>
        </w:rPr>
      </w:pPr>
    </w:p>
    <w:sectPr w:rsidR="003063C3" w:rsidRPr="00831832" w:rsidSect="00862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40" w:bottom="1440" w:left="1440" w:header="0" w:footer="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3B512" w14:textId="77777777" w:rsidR="00234E82" w:rsidRDefault="00234E82" w:rsidP="00524330">
      <w:pPr>
        <w:spacing w:after="0" w:line="240" w:lineRule="auto"/>
      </w:pPr>
      <w:r>
        <w:separator/>
      </w:r>
    </w:p>
  </w:endnote>
  <w:endnote w:type="continuationSeparator" w:id="0">
    <w:p w14:paraId="55C7AF11" w14:textId="77777777" w:rsidR="00234E82" w:rsidRDefault="00234E82" w:rsidP="00524330">
      <w:pPr>
        <w:spacing w:after="0" w:line="240" w:lineRule="auto"/>
      </w:pPr>
      <w:r>
        <w:continuationSeparator/>
      </w:r>
    </w:p>
  </w:endnote>
  <w:endnote w:id="1">
    <w:p w14:paraId="6443E732" w14:textId="77777777" w:rsidR="00257411" w:rsidRDefault="00257411" w:rsidP="00257411">
      <w:pPr>
        <w:pStyle w:val="EndnoteText"/>
        <w:ind w:right="-46"/>
      </w:pPr>
      <w:r>
        <w:rPr>
          <w:rStyle w:val="EndnoteReference"/>
        </w:rPr>
        <w:endnoteRef/>
      </w:r>
      <w:r>
        <w:t xml:space="preserve"> </w:t>
      </w:r>
      <w:r w:rsidRPr="00FD77E5">
        <w:t>Royal Australian College of Physicians (2018) Action to prevent obesity and reduce its impact across the life course- RACP Position Statement on Obesity. Sydney: Royal Australian College of Physicians. Accessed online 24th August 2018 https://www.racp.edu.au/docs/default-source/advocacy-library/racp-obesity-position-statement.pdf</w:t>
      </w:r>
    </w:p>
  </w:endnote>
  <w:endnote w:id="2">
    <w:p w14:paraId="68CA92E7" w14:textId="3EEF7986" w:rsidR="005B09E3" w:rsidRDefault="00257411" w:rsidP="00257411">
      <w:pPr>
        <w:pStyle w:val="EndnoteText"/>
        <w:ind w:right="-46"/>
        <w:rPr>
          <w:rFonts w:cs="Arial"/>
          <w:spacing w:val="5"/>
          <w:shd w:val="clear" w:color="auto" w:fill="FFFFFF"/>
        </w:rPr>
      </w:pPr>
      <w:r>
        <w:rPr>
          <w:rStyle w:val="EndnoteReference"/>
        </w:rPr>
        <w:endnoteRef/>
      </w:r>
      <w:r>
        <w:t xml:space="preserve"> </w:t>
      </w:r>
      <w:r w:rsidRPr="00FD77E5">
        <w:rPr>
          <w:rFonts w:cs="Arial"/>
          <w:spacing w:val="5"/>
          <w:shd w:val="clear" w:color="auto" w:fill="FFFFFF"/>
        </w:rPr>
        <w:t>National Health and Medical Research Council (2013) Clinical practice guidelines for the management of overweight and obesity in adults, adolescents and children in Australia. Melbourne: National Health and Medical Research Council. P.160</w:t>
      </w:r>
      <w:r w:rsidR="005B09E3">
        <w:rPr>
          <w:rFonts w:cs="Arial"/>
          <w:spacing w:val="5"/>
          <w:shd w:val="clear" w:color="auto" w:fill="FFFFFF"/>
        </w:rPr>
        <w:t xml:space="preserve">. </w:t>
      </w:r>
      <w:r w:rsidRPr="00FD77E5">
        <w:rPr>
          <w:rFonts w:cs="Arial"/>
          <w:spacing w:val="5"/>
          <w:shd w:val="clear" w:color="auto" w:fill="FFFFFF"/>
        </w:rPr>
        <w:t>Accessed online 24th August 2018 </w:t>
      </w:r>
    </w:p>
    <w:p w14:paraId="1C094FBE" w14:textId="0BB6A502" w:rsidR="00257411" w:rsidRDefault="005B09E3" w:rsidP="00257411">
      <w:pPr>
        <w:pStyle w:val="EndnoteText"/>
        <w:ind w:right="-46"/>
        <w:rPr>
          <w:spacing w:val="5"/>
          <w:shd w:val="clear" w:color="auto" w:fill="FFFFFF"/>
        </w:rPr>
      </w:pPr>
      <w:hyperlink r:id="rId1" w:history="1">
        <w:r w:rsidRPr="00776E5C">
          <w:rPr>
            <w:rStyle w:val="Hyperlink"/>
            <w:spacing w:val="5"/>
            <w:shd w:val="clear" w:color="auto" w:fill="FFFFFF"/>
          </w:rPr>
          <w:t>h</w:t>
        </w:r>
        <w:r w:rsidRPr="00776E5C">
          <w:rPr>
            <w:rStyle w:val="Hyperlink"/>
            <w:spacing w:val="5"/>
            <w:shd w:val="clear" w:color="auto" w:fill="FFFFFF"/>
          </w:rPr>
          <w:t>ttps://www.nhmrc.gov.au/about-us/publications/clinical-practice-guidelines-management-overweight-and-obesity</w:t>
        </w:r>
      </w:hyperlink>
    </w:p>
    <w:p w14:paraId="6A2FA7F9" w14:textId="77777777" w:rsidR="005B09E3" w:rsidRDefault="005B09E3" w:rsidP="00257411">
      <w:pPr>
        <w:pStyle w:val="EndnoteText"/>
        <w:ind w:right="-4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95602115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5414437"/>
          <w:docPartObj>
            <w:docPartGallery w:val="Page Numbers (Top of Page)"/>
            <w:docPartUnique/>
          </w:docPartObj>
        </w:sdtPr>
        <w:sdtEndPr/>
        <w:sdtContent>
          <w:p w14:paraId="575709AF" w14:textId="77777777" w:rsidR="003E3EC8" w:rsidRDefault="003E3EC8" w:rsidP="008620A8">
            <w:pPr>
              <w:pStyle w:val="Footer"/>
              <w:ind w:right="-46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14:paraId="411B5065" w14:textId="7BFBA311" w:rsidR="003E3EC8" w:rsidRDefault="003E3EC8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14:paraId="4FE81A04" w14:textId="77777777" w:rsidR="003E3EC8" w:rsidRPr="007D403E" w:rsidRDefault="005B09E3" w:rsidP="003E3EC8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08692126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511687153"/>
          <w:docPartObj>
            <w:docPartGallery w:val="Page Numbers (Top of Page)"/>
            <w:docPartUnique/>
          </w:docPartObj>
        </w:sdtPr>
        <w:sdtEndPr/>
        <w:sdtContent>
          <w:p w14:paraId="6F413FF9" w14:textId="77777777" w:rsidR="003E3EC8" w:rsidRDefault="003E3EC8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14:paraId="35401EC1" w14:textId="77777777" w:rsidR="003E3EC8" w:rsidRDefault="003E3EC8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14:paraId="77E8B025" w14:textId="77777777" w:rsidR="003E3EC8" w:rsidRPr="003E3EC8" w:rsidRDefault="005B09E3" w:rsidP="003E3EC8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CD7F" w14:textId="77777777" w:rsidR="003E3EC8" w:rsidRDefault="003E3EC8" w:rsidP="003E3EC8">
    <w:pPr>
      <w:pStyle w:val="Footer"/>
      <w:ind w:left="-1418"/>
    </w:pPr>
    <w:r w:rsidRPr="00C56950">
      <w:rPr>
        <w:noProof/>
      </w:rPr>
      <w:drawing>
        <wp:inline distT="0" distB="0" distL="0" distR="0" wp14:anchorId="194B7774" wp14:editId="7F325449">
          <wp:extent cx="7524000" cy="1380070"/>
          <wp:effectExtent l="0" t="0" r="1270" b="0"/>
          <wp:docPr id="36" name="Picture 462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2" descr="Department of Health Footer with Tasmanian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138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37042" w14:textId="77777777" w:rsidR="00234E82" w:rsidRDefault="00234E82" w:rsidP="00524330">
      <w:pPr>
        <w:spacing w:after="0" w:line="240" w:lineRule="auto"/>
      </w:pPr>
      <w:r>
        <w:separator/>
      </w:r>
    </w:p>
  </w:footnote>
  <w:footnote w:type="continuationSeparator" w:id="0">
    <w:p w14:paraId="5118B33B" w14:textId="77777777" w:rsidR="00234E82" w:rsidRDefault="00234E82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116AA" w14:textId="77777777" w:rsidR="003E3EC8" w:rsidRDefault="003E3EC8" w:rsidP="003E3EC8">
    <w:pPr>
      <w:pStyle w:val="Header"/>
      <w:ind w:left="-1531"/>
    </w:pPr>
    <w:r>
      <w:rPr>
        <w:noProof/>
      </w:rPr>
      <w:drawing>
        <wp:inline distT="0" distB="0" distL="0" distR="0" wp14:anchorId="0DE98E69" wp14:editId="54091C79">
          <wp:extent cx="7627027" cy="1150883"/>
          <wp:effectExtent l="0" t="0" r="0" b="0"/>
          <wp:docPr id="33" name="Picture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270" cy="116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C5803" w14:textId="77777777" w:rsidR="00490AC5" w:rsidRDefault="00850CA7" w:rsidP="003E3EC8">
    <w:pPr>
      <w:pStyle w:val="Header"/>
      <w:ind w:left="-1474" w:right="0"/>
      <w:jc w:val="both"/>
    </w:pPr>
    <w:r>
      <w:rPr>
        <w:noProof/>
      </w:rPr>
      <w:drawing>
        <wp:inline distT="0" distB="0" distL="0" distR="0" wp14:anchorId="7C962EFC" wp14:editId="2895825E">
          <wp:extent cx="7730772" cy="1166648"/>
          <wp:effectExtent l="0" t="0" r="3810" b="0"/>
          <wp:docPr id="34" name="Picture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901" cy="1171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9DD7A" w14:textId="77777777" w:rsidR="00490AC5" w:rsidRDefault="00DB79C6" w:rsidP="00524330">
    <w:pPr>
      <w:pStyle w:val="Header"/>
      <w:ind w:left="-1474"/>
    </w:pPr>
    <w:r>
      <w:rPr>
        <w:noProof/>
      </w:rPr>
      <w:drawing>
        <wp:inline distT="0" distB="0" distL="0" distR="0" wp14:anchorId="0AB71DB4" wp14:editId="2DFB35CB">
          <wp:extent cx="7587444" cy="1926771"/>
          <wp:effectExtent l="0" t="0" r="0" b="0"/>
          <wp:docPr id="35" name="Picture 35" descr="Healthy Young Peopl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5952" cy="19390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04B18"/>
    <w:multiLevelType w:val="hybridMultilevel"/>
    <w:tmpl w:val="27344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6410"/>
    <w:multiLevelType w:val="multilevel"/>
    <w:tmpl w:val="FE16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63EEF"/>
    <w:multiLevelType w:val="hybridMultilevel"/>
    <w:tmpl w:val="022A43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A43D9"/>
    <w:multiLevelType w:val="hybridMultilevel"/>
    <w:tmpl w:val="62689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3E41"/>
    <w:multiLevelType w:val="hybridMultilevel"/>
    <w:tmpl w:val="E77E8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5974"/>
    <w:multiLevelType w:val="hybridMultilevel"/>
    <w:tmpl w:val="F4CA9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3ED6"/>
    <w:multiLevelType w:val="hybridMultilevel"/>
    <w:tmpl w:val="9A4CB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10067"/>
    <w:multiLevelType w:val="hybridMultilevel"/>
    <w:tmpl w:val="3272B0F0"/>
    <w:lvl w:ilvl="0" w:tplc="DA20853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86754"/>
    <w:multiLevelType w:val="hybridMultilevel"/>
    <w:tmpl w:val="C3BEC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F3BB5"/>
    <w:multiLevelType w:val="hybridMultilevel"/>
    <w:tmpl w:val="B53E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D4F1E"/>
    <w:multiLevelType w:val="hybridMultilevel"/>
    <w:tmpl w:val="6556F104"/>
    <w:lvl w:ilvl="0" w:tplc="D4961FB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554BF"/>
    <w:multiLevelType w:val="hybridMultilevel"/>
    <w:tmpl w:val="379240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FEE1C2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3258C"/>
    <w:multiLevelType w:val="hybridMultilevel"/>
    <w:tmpl w:val="530202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7723C8"/>
    <w:multiLevelType w:val="hybridMultilevel"/>
    <w:tmpl w:val="B1C43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705E2"/>
    <w:multiLevelType w:val="hybridMultilevel"/>
    <w:tmpl w:val="91F6FF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FEE1C2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80244B"/>
    <w:multiLevelType w:val="hybridMultilevel"/>
    <w:tmpl w:val="2F1CD3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877696"/>
    <w:multiLevelType w:val="hybridMultilevel"/>
    <w:tmpl w:val="338AB79E"/>
    <w:lvl w:ilvl="0" w:tplc="D7B24D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B5E2F"/>
    <w:multiLevelType w:val="hybridMultilevel"/>
    <w:tmpl w:val="ECE82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62A21"/>
    <w:multiLevelType w:val="hybridMultilevel"/>
    <w:tmpl w:val="E28246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6"/>
  </w:num>
  <w:num w:numId="5">
    <w:abstractNumId w:val="12"/>
  </w:num>
  <w:num w:numId="6">
    <w:abstractNumId w:val="11"/>
  </w:num>
  <w:num w:numId="7">
    <w:abstractNumId w:val="14"/>
  </w:num>
  <w:num w:numId="8">
    <w:abstractNumId w:val="18"/>
  </w:num>
  <w:num w:numId="9">
    <w:abstractNumId w:val="0"/>
  </w:num>
  <w:num w:numId="10">
    <w:abstractNumId w:val="2"/>
  </w:num>
  <w:num w:numId="11">
    <w:abstractNumId w:val="17"/>
  </w:num>
  <w:num w:numId="12">
    <w:abstractNumId w:val="6"/>
  </w:num>
  <w:num w:numId="13">
    <w:abstractNumId w:val="1"/>
  </w:num>
  <w:num w:numId="14">
    <w:abstractNumId w:val="15"/>
  </w:num>
  <w:num w:numId="15">
    <w:abstractNumId w:val="3"/>
  </w:num>
  <w:num w:numId="16">
    <w:abstractNumId w:val="8"/>
  </w:num>
  <w:num w:numId="17">
    <w:abstractNumId w:val="4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C6"/>
    <w:rsid w:val="000007D9"/>
    <w:rsid w:val="00005808"/>
    <w:rsid w:val="0002176C"/>
    <w:rsid w:val="000677B2"/>
    <w:rsid w:val="000A21D8"/>
    <w:rsid w:val="000A5E9B"/>
    <w:rsid w:val="000C56F9"/>
    <w:rsid w:val="000F01F1"/>
    <w:rsid w:val="0013796F"/>
    <w:rsid w:val="00144D96"/>
    <w:rsid w:val="00163B15"/>
    <w:rsid w:val="00183417"/>
    <w:rsid w:val="00185B35"/>
    <w:rsid w:val="001950EA"/>
    <w:rsid w:val="001C40B7"/>
    <w:rsid w:val="001E68C9"/>
    <w:rsid w:val="00234E82"/>
    <w:rsid w:val="00257411"/>
    <w:rsid w:val="00280E9D"/>
    <w:rsid w:val="0029783F"/>
    <w:rsid w:val="002C1FAB"/>
    <w:rsid w:val="002E0B3E"/>
    <w:rsid w:val="002E7497"/>
    <w:rsid w:val="003063C3"/>
    <w:rsid w:val="00310C63"/>
    <w:rsid w:val="00336439"/>
    <w:rsid w:val="0038129E"/>
    <w:rsid w:val="003A3E45"/>
    <w:rsid w:val="003E1EC4"/>
    <w:rsid w:val="003E3EC8"/>
    <w:rsid w:val="003F7C60"/>
    <w:rsid w:val="00490AC5"/>
    <w:rsid w:val="0050632E"/>
    <w:rsid w:val="00514630"/>
    <w:rsid w:val="00521E1D"/>
    <w:rsid w:val="00523B6C"/>
    <w:rsid w:val="00523B87"/>
    <w:rsid w:val="00524330"/>
    <w:rsid w:val="00536EA9"/>
    <w:rsid w:val="00556C56"/>
    <w:rsid w:val="00561775"/>
    <w:rsid w:val="005A11F4"/>
    <w:rsid w:val="005A7F90"/>
    <w:rsid w:val="005B09E3"/>
    <w:rsid w:val="005D33D8"/>
    <w:rsid w:val="005D42BF"/>
    <w:rsid w:val="005E13FC"/>
    <w:rsid w:val="005F3E2F"/>
    <w:rsid w:val="006370EC"/>
    <w:rsid w:val="006B5ADE"/>
    <w:rsid w:val="00742A3C"/>
    <w:rsid w:val="00751BAA"/>
    <w:rsid w:val="00775E28"/>
    <w:rsid w:val="00785387"/>
    <w:rsid w:val="007D403E"/>
    <w:rsid w:val="00802671"/>
    <w:rsid w:val="00831832"/>
    <w:rsid w:val="0084793D"/>
    <w:rsid w:val="00850CA7"/>
    <w:rsid w:val="008620A8"/>
    <w:rsid w:val="00874318"/>
    <w:rsid w:val="008A5331"/>
    <w:rsid w:val="008C1BE0"/>
    <w:rsid w:val="008C795A"/>
    <w:rsid w:val="00914382"/>
    <w:rsid w:val="00926AFE"/>
    <w:rsid w:val="009C71C3"/>
    <w:rsid w:val="009F4D37"/>
    <w:rsid w:val="00A869CD"/>
    <w:rsid w:val="00AC5490"/>
    <w:rsid w:val="00AD2E64"/>
    <w:rsid w:val="00AE0C19"/>
    <w:rsid w:val="00AF610A"/>
    <w:rsid w:val="00B579CB"/>
    <w:rsid w:val="00B62C64"/>
    <w:rsid w:val="00B77507"/>
    <w:rsid w:val="00BB6DF0"/>
    <w:rsid w:val="00BD22CA"/>
    <w:rsid w:val="00C02B1F"/>
    <w:rsid w:val="00C12577"/>
    <w:rsid w:val="00C12646"/>
    <w:rsid w:val="00C2182C"/>
    <w:rsid w:val="00C72BFA"/>
    <w:rsid w:val="00C92F40"/>
    <w:rsid w:val="00CC040C"/>
    <w:rsid w:val="00CD77BE"/>
    <w:rsid w:val="00CE04A3"/>
    <w:rsid w:val="00D102E4"/>
    <w:rsid w:val="00D34A39"/>
    <w:rsid w:val="00D506F7"/>
    <w:rsid w:val="00DB79C6"/>
    <w:rsid w:val="00DF2838"/>
    <w:rsid w:val="00EB7251"/>
    <w:rsid w:val="00EC6921"/>
    <w:rsid w:val="00EC71F8"/>
    <w:rsid w:val="00F255BA"/>
    <w:rsid w:val="00F9129B"/>
    <w:rsid w:val="00F91E60"/>
    <w:rsid w:val="00F949D3"/>
    <w:rsid w:val="00FA2959"/>
    <w:rsid w:val="00FC2AFE"/>
    <w:rsid w:val="00FE3370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8D89DA"/>
  <w15:chartTrackingRefBased/>
  <w15:docId w15:val="{7BEBCE74-88DD-4C3D-933F-61847A1E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C6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4318"/>
    <w:pPr>
      <w:keepNext/>
      <w:keepLines/>
      <w:spacing w:before="40" w:after="0" w:line="259" w:lineRule="auto"/>
      <w:ind w:right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semiHidden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B79C6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79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79C6"/>
    <w:rPr>
      <w:rFonts w:ascii="Gill Sans MT" w:eastAsia="Times New Roman" w:hAnsi="Gill Sans MT"/>
    </w:rPr>
  </w:style>
  <w:style w:type="character" w:styleId="EndnoteReference">
    <w:name w:val="endnote reference"/>
    <w:basedOn w:val="DefaultParagraphFont"/>
    <w:uiPriority w:val="99"/>
    <w:semiHidden/>
    <w:unhideWhenUsed/>
    <w:rsid w:val="00DB79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79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7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7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7B2"/>
    <w:rPr>
      <w:rFonts w:ascii="Gill Sans MT" w:eastAsia="Times New Roman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7B2"/>
    <w:rPr>
      <w:rFonts w:ascii="Gill Sans MT" w:eastAsia="Times New Roman" w:hAnsi="Gill Sans MT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438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AD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A5331"/>
    <w:pPr>
      <w:spacing w:before="100" w:beforeAutospacing="1" w:after="100" w:afterAutospacing="1" w:line="240" w:lineRule="auto"/>
      <w:ind w:right="0"/>
    </w:pPr>
    <w:rPr>
      <w:rFonts w:ascii="Times New Roman" w:hAnsi="Times New Roman"/>
      <w:sz w:val="24"/>
    </w:rPr>
  </w:style>
  <w:style w:type="paragraph" w:customStyle="1" w:styleId="Pa3">
    <w:name w:val="Pa3"/>
    <w:basedOn w:val="Normal"/>
    <w:next w:val="Normal"/>
    <w:uiPriority w:val="99"/>
    <w:rsid w:val="00310C63"/>
    <w:pPr>
      <w:autoSpaceDE w:val="0"/>
      <w:autoSpaceDN w:val="0"/>
      <w:adjustRightInd w:val="0"/>
      <w:spacing w:after="0" w:line="261" w:lineRule="atLeast"/>
      <w:ind w:right="0"/>
    </w:pPr>
    <w:rPr>
      <w:rFonts w:ascii="Gill Sans" w:eastAsiaTheme="minorEastAsia" w:hAnsi="Gill Sans" w:cstheme="minorBidi"/>
      <w:sz w:val="24"/>
    </w:rPr>
  </w:style>
  <w:style w:type="paragraph" w:customStyle="1" w:styleId="Pa0">
    <w:name w:val="Pa0"/>
    <w:basedOn w:val="Normal"/>
    <w:next w:val="Normal"/>
    <w:uiPriority w:val="99"/>
    <w:rsid w:val="00310C63"/>
    <w:pPr>
      <w:autoSpaceDE w:val="0"/>
      <w:autoSpaceDN w:val="0"/>
      <w:adjustRightInd w:val="0"/>
      <w:spacing w:after="0" w:line="241" w:lineRule="atLeast"/>
      <w:ind w:right="0"/>
    </w:pPr>
    <w:rPr>
      <w:rFonts w:ascii="Gill Sans" w:eastAsiaTheme="minorEastAsia" w:hAnsi="Gill Sans" w:cstheme="minorBid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431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74318"/>
    <w:rPr>
      <w:b/>
      <w:bCs/>
    </w:rPr>
  </w:style>
  <w:style w:type="character" w:styleId="Emphasis">
    <w:name w:val="Emphasis"/>
    <w:basedOn w:val="DefaultParagraphFont"/>
    <w:uiPriority w:val="20"/>
    <w:qFormat/>
    <w:rsid w:val="008743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hmrc.gov.au/about-us/publications/clinical-practice-guidelines-management-overweight-and-obesity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Young People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Young People</dc:title>
  <dc:subject>HYP</dc:subject>
  <dc:creator>Measham, Christy R</dc:creator>
  <cp:keywords/>
  <dc:description/>
  <cp:lastModifiedBy>Schneiders, Mara A</cp:lastModifiedBy>
  <cp:revision>11</cp:revision>
  <cp:lastPrinted>2019-08-19T05:00:00Z</cp:lastPrinted>
  <dcterms:created xsi:type="dcterms:W3CDTF">2019-10-06T23:33:00Z</dcterms:created>
  <dcterms:modified xsi:type="dcterms:W3CDTF">2021-08-03T06:00:00Z</dcterms:modified>
</cp:coreProperties>
</file>